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A7FA" w14:textId="2C691C32" w:rsidR="00887784" w:rsidRPr="00CE08AB" w:rsidRDefault="00CE08AB" w:rsidP="00887784">
      <w:pPr>
        <w:keepNext/>
        <w:spacing w:before="240" w:after="120"/>
        <w:ind w:left="240" w:right="120"/>
        <w:jc w:val="center"/>
        <w:outlineLvl w:val="1"/>
        <w:rPr>
          <w:rFonts w:eastAsia="Times New Roman"/>
          <w:b/>
          <w:bCs/>
          <w:iCs/>
          <w:caps/>
          <w:sz w:val="20"/>
          <w:szCs w:val="20"/>
        </w:rPr>
      </w:pPr>
      <w:r w:rsidRPr="00CE08AB">
        <w:rPr>
          <w:b/>
          <w:bCs/>
          <w:sz w:val="20"/>
          <w:szCs w:val="20"/>
          <w:lang w:eastAsia="zh-CN"/>
        </w:rPr>
        <w:t>Stren</w:t>
      </w:r>
      <w:r w:rsidRPr="00CE08AB">
        <w:rPr>
          <w:b/>
          <w:bCs/>
          <w:sz w:val="20"/>
          <w:szCs w:val="20"/>
        </w:rPr>
        <w:t>gth analysis of molten salt tanks for CSP plants</w:t>
      </w:r>
      <w:r w:rsidRPr="00CE08AB">
        <w:t xml:space="preserve"> </w:t>
      </w:r>
      <w:r w:rsidRPr="00CE08AB">
        <w:rPr>
          <w:b/>
          <w:bCs/>
          <w:sz w:val="20"/>
          <w:szCs w:val="20"/>
        </w:rPr>
        <w:t>E</w:t>
      </w:r>
      <w:r>
        <w:rPr>
          <w:b/>
          <w:bCs/>
          <w:sz w:val="20"/>
          <w:szCs w:val="20"/>
        </w:rPr>
        <w:t>lectric-thermal-fluid Multiphysics Simulation of PT Micro-heater Chip Subjected to Constant/Pulsed Current</w:t>
      </w:r>
    </w:p>
    <w:p w14:paraId="09651EA8" w14:textId="4188B3C3" w:rsidR="00887784" w:rsidRPr="00F265DC" w:rsidRDefault="00311D7A" w:rsidP="00887784">
      <w:pPr>
        <w:keepNext/>
        <w:spacing w:before="60" w:after="60"/>
        <w:ind w:left="60" w:right="60"/>
        <w:jc w:val="center"/>
        <w:outlineLvl w:val="2"/>
        <w:rPr>
          <w:rFonts w:eastAsia="Times New Roman"/>
          <w:b/>
          <w:bCs/>
          <w:sz w:val="20"/>
          <w:szCs w:val="20"/>
        </w:rPr>
      </w:pPr>
      <w:r w:rsidRPr="00311D7A">
        <w:rPr>
          <w:rFonts w:eastAsia="Times New Roman"/>
          <w:b/>
          <w:bCs/>
          <w:sz w:val="20"/>
          <w:szCs w:val="20"/>
        </w:rPr>
        <w:t>Y</w:t>
      </w:r>
      <w:r>
        <w:rPr>
          <w:rFonts w:eastAsia="Times New Roman"/>
          <w:b/>
          <w:bCs/>
          <w:sz w:val="20"/>
          <w:szCs w:val="20"/>
        </w:rPr>
        <w:t>i-</w:t>
      </w:r>
      <w:r w:rsidRPr="00311D7A">
        <w:rPr>
          <w:rFonts w:eastAsia="Times New Roman"/>
          <w:b/>
          <w:bCs/>
          <w:sz w:val="20"/>
          <w:szCs w:val="20"/>
        </w:rPr>
        <w:t>G</w:t>
      </w:r>
      <w:r>
        <w:rPr>
          <w:rFonts w:eastAsia="Times New Roman"/>
          <w:b/>
          <w:bCs/>
          <w:sz w:val="20"/>
          <w:szCs w:val="20"/>
        </w:rPr>
        <w:t>ao</w:t>
      </w:r>
      <w:r w:rsidRPr="00311D7A">
        <w:rPr>
          <w:rFonts w:eastAsia="Times New Roman"/>
          <w:b/>
          <w:bCs/>
          <w:sz w:val="20"/>
          <w:szCs w:val="20"/>
        </w:rPr>
        <w:t xml:space="preserve"> Lv</w:t>
      </w:r>
      <w:r w:rsidRPr="00311D7A">
        <w:rPr>
          <w:rFonts w:eastAsia="Times New Roman"/>
          <w:b/>
          <w:bCs/>
          <w:sz w:val="20"/>
          <w:szCs w:val="20"/>
          <w:vertAlign w:val="superscript"/>
        </w:rPr>
        <w:t>1</w:t>
      </w:r>
      <w:r w:rsidRPr="00311D7A">
        <w:rPr>
          <w:rFonts w:eastAsia="Times New Roman"/>
          <w:b/>
          <w:bCs/>
          <w:sz w:val="20"/>
          <w:szCs w:val="20"/>
        </w:rPr>
        <w:t>, L</w:t>
      </w:r>
      <w:r>
        <w:rPr>
          <w:rFonts w:eastAsia="Times New Roman"/>
          <w:b/>
          <w:bCs/>
          <w:sz w:val="20"/>
          <w:szCs w:val="20"/>
        </w:rPr>
        <w:t>in-</w:t>
      </w:r>
      <w:r w:rsidRPr="00311D7A">
        <w:rPr>
          <w:rFonts w:eastAsia="Times New Roman"/>
          <w:b/>
          <w:bCs/>
          <w:sz w:val="20"/>
          <w:szCs w:val="20"/>
        </w:rPr>
        <w:t>Y</w:t>
      </w:r>
      <w:r>
        <w:rPr>
          <w:rFonts w:eastAsia="Times New Roman"/>
          <w:b/>
          <w:bCs/>
          <w:sz w:val="20"/>
          <w:szCs w:val="20"/>
        </w:rPr>
        <w:t>ing</w:t>
      </w:r>
      <w:r w:rsidRPr="00311D7A">
        <w:rPr>
          <w:rFonts w:eastAsia="Times New Roman"/>
          <w:b/>
          <w:bCs/>
          <w:sz w:val="20"/>
          <w:szCs w:val="20"/>
        </w:rPr>
        <w:t xml:space="preserve"> Ren</w:t>
      </w:r>
      <w:r w:rsidRPr="00311D7A">
        <w:rPr>
          <w:rFonts w:eastAsia="Times New Roman"/>
          <w:b/>
          <w:bCs/>
          <w:sz w:val="20"/>
          <w:szCs w:val="20"/>
          <w:vertAlign w:val="superscript"/>
        </w:rPr>
        <w:t>2</w:t>
      </w:r>
      <w:r w:rsidRPr="00311D7A">
        <w:rPr>
          <w:rFonts w:eastAsia="Times New Roman"/>
          <w:b/>
          <w:bCs/>
          <w:sz w:val="20"/>
          <w:szCs w:val="20"/>
        </w:rPr>
        <w:t>, Q</w:t>
      </w:r>
      <w:r>
        <w:rPr>
          <w:rFonts w:eastAsia="Times New Roman"/>
          <w:b/>
          <w:bCs/>
          <w:sz w:val="20"/>
          <w:szCs w:val="20"/>
        </w:rPr>
        <w:t>iu-</w:t>
      </w:r>
      <w:r w:rsidRPr="00311D7A">
        <w:rPr>
          <w:rFonts w:eastAsia="Times New Roman"/>
          <w:b/>
          <w:bCs/>
          <w:sz w:val="20"/>
          <w:szCs w:val="20"/>
        </w:rPr>
        <w:t>W</w:t>
      </w:r>
      <w:r>
        <w:rPr>
          <w:rFonts w:eastAsia="Times New Roman"/>
          <w:b/>
          <w:bCs/>
          <w:sz w:val="20"/>
          <w:szCs w:val="20"/>
        </w:rPr>
        <w:t>ang</w:t>
      </w:r>
      <w:r w:rsidRPr="00311D7A">
        <w:rPr>
          <w:rFonts w:eastAsia="Times New Roman"/>
          <w:b/>
          <w:bCs/>
          <w:sz w:val="20"/>
          <w:szCs w:val="20"/>
        </w:rPr>
        <w:t xml:space="preserve"> Wang</w:t>
      </w:r>
      <w:r w:rsidRPr="00311D7A">
        <w:rPr>
          <w:rFonts w:eastAsia="Times New Roman"/>
          <w:b/>
          <w:bCs/>
          <w:sz w:val="20"/>
          <w:szCs w:val="20"/>
          <w:vertAlign w:val="superscript"/>
        </w:rPr>
        <w:t>1</w:t>
      </w:r>
      <w:r>
        <w:rPr>
          <w:rFonts w:eastAsia="Times New Roman"/>
          <w:b/>
          <w:bCs/>
          <w:sz w:val="20"/>
          <w:szCs w:val="20"/>
        </w:rPr>
        <w:t xml:space="preserve"> and </w:t>
      </w:r>
      <w:r w:rsidRPr="00311D7A">
        <w:rPr>
          <w:rFonts w:eastAsia="Times New Roman"/>
          <w:b/>
          <w:bCs/>
          <w:sz w:val="20"/>
          <w:szCs w:val="20"/>
        </w:rPr>
        <w:t>W</w:t>
      </w:r>
      <w:r>
        <w:rPr>
          <w:rFonts w:eastAsia="Times New Roman"/>
          <w:b/>
          <w:bCs/>
          <w:sz w:val="20"/>
          <w:szCs w:val="20"/>
        </w:rPr>
        <w:t>en-Xiao</w:t>
      </w:r>
      <w:r w:rsidRPr="00311D7A">
        <w:rPr>
          <w:rFonts w:eastAsia="Times New Roman"/>
          <w:b/>
          <w:bCs/>
          <w:sz w:val="20"/>
          <w:szCs w:val="20"/>
        </w:rPr>
        <w:t xml:space="preserve"> Chu</w:t>
      </w:r>
      <w:r w:rsidRPr="00311D7A">
        <w:rPr>
          <w:rFonts w:eastAsia="Times New Roman"/>
          <w:b/>
          <w:bCs/>
          <w:sz w:val="20"/>
          <w:szCs w:val="20"/>
          <w:vertAlign w:val="superscript"/>
        </w:rPr>
        <w:t>1*</w:t>
      </w:r>
    </w:p>
    <w:p w14:paraId="0D8DE628" w14:textId="77777777" w:rsidR="007B4DB0" w:rsidRDefault="00887784" w:rsidP="00887784">
      <w:pPr>
        <w:autoSpaceDE w:val="0"/>
        <w:autoSpaceDN w:val="0"/>
        <w:adjustRightInd w:val="0"/>
        <w:jc w:val="center"/>
        <w:rPr>
          <w:rFonts w:eastAsia="等线"/>
          <w:color w:val="000000"/>
          <w:sz w:val="20"/>
          <w:szCs w:val="20"/>
        </w:rPr>
      </w:pPr>
      <w:r w:rsidRPr="00F265DC">
        <w:rPr>
          <w:rFonts w:eastAsia="等线"/>
          <w:color w:val="000000"/>
          <w:sz w:val="20"/>
          <w:szCs w:val="20"/>
          <w:vertAlign w:val="superscript"/>
        </w:rPr>
        <w:t>1</w:t>
      </w:r>
      <w:r w:rsidRPr="00F265DC">
        <w:rPr>
          <w:rFonts w:eastAsia="等线"/>
          <w:color w:val="000000"/>
          <w:sz w:val="20"/>
          <w:szCs w:val="20"/>
        </w:rPr>
        <w:t xml:space="preserve"> </w:t>
      </w:r>
      <w:r w:rsidR="007B4DB0" w:rsidRPr="007B4DB0">
        <w:rPr>
          <w:rFonts w:eastAsia="等线"/>
          <w:color w:val="000000"/>
          <w:sz w:val="20"/>
          <w:szCs w:val="20"/>
        </w:rPr>
        <w:t>Key Laboratory of Thermo-fluid Science and Engineering, Ministry of Education, Xi’an Jiaotong University, Xi’an, Shanxi 710049, China</w:t>
      </w:r>
    </w:p>
    <w:p w14:paraId="0755B7D3" w14:textId="18AAB4C8" w:rsidR="00887784" w:rsidRPr="00F265DC" w:rsidRDefault="007B4DB0" w:rsidP="00887784">
      <w:pPr>
        <w:autoSpaceDE w:val="0"/>
        <w:autoSpaceDN w:val="0"/>
        <w:adjustRightInd w:val="0"/>
        <w:jc w:val="center"/>
        <w:rPr>
          <w:rFonts w:eastAsia="等线"/>
          <w:color w:val="000000"/>
          <w:sz w:val="20"/>
          <w:szCs w:val="20"/>
        </w:rPr>
      </w:pPr>
      <w:r w:rsidRPr="007B4DB0">
        <w:rPr>
          <w:rFonts w:eastAsia="等线"/>
          <w:color w:val="000000"/>
          <w:sz w:val="20"/>
          <w:szCs w:val="20"/>
          <w:vertAlign w:val="superscript"/>
        </w:rPr>
        <w:t>2</w:t>
      </w:r>
      <w:r>
        <w:rPr>
          <w:rFonts w:eastAsia="等线"/>
          <w:color w:val="000000"/>
          <w:sz w:val="20"/>
          <w:szCs w:val="20"/>
        </w:rPr>
        <w:t xml:space="preserve"> </w:t>
      </w:r>
      <w:r w:rsidRPr="007B4DB0">
        <w:rPr>
          <w:rFonts w:eastAsia="等线"/>
          <w:color w:val="000000"/>
          <w:sz w:val="20"/>
          <w:szCs w:val="20"/>
        </w:rPr>
        <w:t>State Key Laboratory of Electrical Insulation and Power Equipment, Xi’an Jiaotong University, Xi’an, Shanxi 710049, China</w:t>
      </w:r>
    </w:p>
    <w:p w14:paraId="7E79D43E" w14:textId="7EEE7B6C" w:rsidR="00887784" w:rsidRPr="00566F68" w:rsidRDefault="00612C47" w:rsidP="00887784">
      <w:pPr>
        <w:autoSpaceDE w:val="0"/>
        <w:autoSpaceDN w:val="0"/>
        <w:adjustRightInd w:val="0"/>
        <w:jc w:val="center"/>
        <w:rPr>
          <w:rFonts w:eastAsia="等线"/>
          <w:b/>
          <w:bCs/>
          <w:i/>
          <w:iCs/>
          <w:color w:val="000000"/>
          <w:sz w:val="20"/>
          <w:szCs w:val="20"/>
        </w:rPr>
      </w:pPr>
      <w:r w:rsidRPr="00566F68">
        <w:rPr>
          <w:rFonts w:eastAsia="等线"/>
          <w:b/>
          <w:bCs/>
          <w:i/>
          <w:iCs/>
          <w:color w:val="000000"/>
          <w:sz w:val="20"/>
          <w:szCs w:val="20"/>
        </w:rPr>
        <w:t>Corresponding author (Wenxiao Chu, wxchu84</w:t>
      </w:r>
      <w:r w:rsidR="00887784" w:rsidRPr="00566F68">
        <w:rPr>
          <w:rFonts w:eastAsia="等线"/>
          <w:b/>
          <w:bCs/>
          <w:i/>
          <w:iCs/>
          <w:color w:val="000000"/>
          <w:sz w:val="20"/>
          <w:szCs w:val="20"/>
        </w:rPr>
        <w:t>@xjtu.edu.cn</w:t>
      </w:r>
      <w:r w:rsidRPr="00566F68">
        <w:rPr>
          <w:rFonts w:eastAsia="等线"/>
          <w:b/>
          <w:bCs/>
          <w:i/>
          <w:iCs/>
          <w:color w:val="000000"/>
          <w:sz w:val="20"/>
          <w:szCs w:val="20"/>
        </w:rPr>
        <w:t>)</w:t>
      </w:r>
    </w:p>
    <w:p w14:paraId="22D05060" w14:textId="77777777" w:rsidR="00887784" w:rsidRPr="00F265DC" w:rsidRDefault="00887784" w:rsidP="00887784">
      <w:pPr>
        <w:rPr>
          <w:rFonts w:eastAsia="等线"/>
          <w:sz w:val="20"/>
          <w:szCs w:val="20"/>
        </w:rPr>
      </w:pPr>
    </w:p>
    <w:p w14:paraId="220B09AC" w14:textId="77777777" w:rsidR="00647689" w:rsidRDefault="00647689" w:rsidP="00887784">
      <w:pPr>
        <w:pStyle w:val="maintext"/>
        <w:ind w:firstLine="0"/>
        <w:rPr>
          <w:b/>
          <w:lang w:eastAsia="zh-CN"/>
        </w:rPr>
      </w:pPr>
      <w:r>
        <w:rPr>
          <w:b/>
          <w:lang w:eastAsia="zh-CN"/>
        </w:rPr>
        <w:t xml:space="preserve">Full </w:t>
      </w:r>
      <w:r w:rsidR="00887784" w:rsidRPr="003528D8">
        <w:rPr>
          <w:rFonts w:hint="eastAsia"/>
          <w:b/>
          <w:lang w:eastAsia="zh-CN"/>
        </w:rPr>
        <w:t>Abstract</w:t>
      </w:r>
    </w:p>
    <w:p w14:paraId="47761DC3" w14:textId="77777777" w:rsidR="00647689" w:rsidRDefault="00647689" w:rsidP="00887784">
      <w:pPr>
        <w:pStyle w:val="maintext"/>
        <w:ind w:firstLine="0"/>
        <w:rPr>
          <w:b/>
          <w:lang w:eastAsia="zh-CN"/>
        </w:rPr>
      </w:pPr>
    </w:p>
    <w:p w14:paraId="3E024722" w14:textId="19608E58" w:rsidR="00647689" w:rsidRDefault="00647689" w:rsidP="00887784">
      <w:pPr>
        <w:pStyle w:val="maintext"/>
        <w:ind w:firstLine="0"/>
      </w:pPr>
      <w:r w:rsidRPr="00C173DF">
        <w:t>Microelectromechanical systems (MEMS) technologies have been actively developed over the past two decades. Microscale heaters are key components of such technologies, which provide fast controlled heating of micro-volumes of medium to the required temperature level</w:t>
      </w:r>
      <w:r>
        <w:t xml:space="preserve"> [1]</w:t>
      </w:r>
      <w:r w:rsidRPr="00C173DF">
        <w:t>. When the micro-heater is exposed to the liquid such as deionized water and FC-72, microscale boiling and transient bubble nucleation phenomena will be observed. Over the last decades, some researches have been performed to investigate the microscale boiling phenomena under either pulsed or constant heating conditions and the differences in the mechanisms between the conventional macroscale and microscale boiling and bubble nucleation</w:t>
      </w:r>
      <w:r>
        <w:t xml:space="preserve"> [2]</w:t>
      </w:r>
      <w:r w:rsidRPr="00C173DF">
        <w:t xml:space="preserve">. Generally, many factors, such as the shape of the micro-heater and the heating conditions, are recognized to play a dominant role in the microscale boiling process. Leung et al. </w:t>
      </w:r>
      <w:r>
        <w:t>[3]</w:t>
      </w:r>
      <w:r w:rsidRPr="00C173DF">
        <w:t xml:space="preserve"> observed two groups of boiling patterns generated by a set of different sizes of micro-heaters. Since the vapor in the bubble could be condensed outside the superheated region, the different boiling patterns and bubble dynamics was thought to be greatly dependent on the shape and size of the superheated region.</w:t>
      </w:r>
    </w:p>
    <w:p w14:paraId="28418AE8" w14:textId="77777777" w:rsidR="00647689" w:rsidRDefault="00647689" w:rsidP="00887784">
      <w:pPr>
        <w:pStyle w:val="maintext"/>
        <w:ind w:firstLine="0"/>
      </w:pPr>
    </w:p>
    <w:p w14:paraId="2CA84479" w14:textId="4ABFE007" w:rsidR="00887784" w:rsidRPr="00F265DC" w:rsidRDefault="00887784" w:rsidP="00887784">
      <w:pPr>
        <w:pStyle w:val="maintext"/>
        <w:ind w:firstLine="0"/>
      </w:pPr>
      <w:r w:rsidRPr="00F265DC">
        <w:t>Supercritical water has received widespread attention due to its special physical and chemical properties. In some reactors related to supercritical water technology, such as supercritical water gasification, natural convection is a factor needing to be considered because of the high thermal compressibility of supercritical water. In this paper, numerical method is applied to analyze the natural convection and heat transfer characteristics of supercritical water in a side-wall heated cylinder. In order to match the actual situation, an inlet and an outlet are added to the bottom and the top of the cylinder respectively. After that, the quasi-DNS method is used for numerical simulation, and the thermodynamic properties of supercritical water are calculated by IAPWS-IF97 formulations. As a result, the flow structure</w:t>
      </w:r>
      <w:r w:rsidR="00E16F93">
        <w:t>s</w:t>
      </w:r>
      <w:r w:rsidR="004D0740">
        <w:t xml:space="preserve"> and temperature inside</w:t>
      </w:r>
      <w:r w:rsidR="002A00C0">
        <w:t xml:space="preserve"> the cylinder</w:t>
      </w:r>
      <w:r w:rsidRPr="00F265DC">
        <w:t xml:space="preserve"> are analyzed. </w:t>
      </w:r>
      <w:r w:rsidR="002A00C0">
        <w:t xml:space="preserve">The characteristics </w:t>
      </w:r>
      <w:r w:rsidR="00CC0F86">
        <w:t xml:space="preserve">and influence </w:t>
      </w:r>
      <w:r w:rsidR="002A00C0">
        <w:t>of the flow bou</w:t>
      </w:r>
      <w:r w:rsidR="00A71E02">
        <w:t>ndary layer are specially studied.</w:t>
      </w:r>
      <w:r w:rsidR="002A00C0">
        <w:t xml:space="preserve"> Finally</w:t>
      </w:r>
      <w:r w:rsidRPr="00F265DC">
        <w:t>,</w:t>
      </w:r>
      <w:r w:rsidR="002A00C0">
        <w:t xml:space="preserve"> a heat transfer correlation of supercritical water natural convection is proposed, and ways of heat transfer enhancement are discussed</w:t>
      </w:r>
      <w:r w:rsidRPr="00F265DC">
        <w:t>.</w:t>
      </w:r>
    </w:p>
    <w:p w14:paraId="1238705B" w14:textId="77777777" w:rsidR="00647689" w:rsidRDefault="00647689" w:rsidP="00887784">
      <w:pPr>
        <w:rPr>
          <w:b/>
          <w:sz w:val="20"/>
          <w:szCs w:val="20"/>
        </w:rPr>
      </w:pPr>
    </w:p>
    <w:p w14:paraId="4E57A861" w14:textId="006A89E3" w:rsidR="00887784" w:rsidRPr="00FD0268" w:rsidRDefault="00887784" w:rsidP="00887784">
      <w:pPr>
        <w:rPr>
          <w:sz w:val="20"/>
          <w:szCs w:val="20"/>
        </w:rPr>
      </w:pPr>
      <w:r w:rsidRPr="00F16262">
        <w:rPr>
          <w:rFonts w:hint="eastAsia"/>
          <w:b/>
          <w:sz w:val="20"/>
          <w:szCs w:val="20"/>
        </w:rPr>
        <w:t>K</w:t>
      </w:r>
      <w:r w:rsidRPr="00F16262">
        <w:rPr>
          <w:b/>
          <w:sz w:val="20"/>
          <w:szCs w:val="20"/>
        </w:rPr>
        <w:t xml:space="preserve">eywords: </w:t>
      </w:r>
      <w:r w:rsidR="0035791C" w:rsidRPr="0035791C">
        <w:rPr>
          <w:i/>
          <w:sz w:val="20"/>
          <w:szCs w:val="20"/>
        </w:rPr>
        <w:t>S</w:t>
      </w:r>
      <w:r w:rsidR="00FD0268" w:rsidRPr="0035791C">
        <w:rPr>
          <w:i/>
          <w:sz w:val="20"/>
          <w:szCs w:val="20"/>
        </w:rPr>
        <w:t>upercritical water</w:t>
      </w:r>
      <w:r w:rsidR="0035791C" w:rsidRPr="000A2A10">
        <w:rPr>
          <w:rFonts w:ascii="等线" w:eastAsia="等线" w:hAnsi="等线" w:hint="eastAsia"/>
          <w:sz w:val="20"/>
          <w:szCs w:val="20"/>
          <w:lang w:eastAsia="zh-CN"/>
        </w:rPr>
        <w:t>,</w:t>
      </w:r>
      <w:r w:rsidR="00FD0268" w:rsidRPr="00FD0268">
        <w:rPr>
          <w:sz w:val="20"/>
          <w:szCs w:val="20"/>
        </w:rPr>
        <w:t xml:space="preserve"> </w:t>
      </w:r>
      <w:r w:rsidR="0035791C" w:rsidRPr="0035791C">
        <w:rPr>
          <w:i/>
          <w:sz w:val="20"/>
          <w:szCs w:val="20"/>
        </w:rPr>
        <w:t>N</w:t>
      </w:r>
      <w:r w:rsidR="00FD0268" w:rsidRPr="0035791C">
        <w:rPr>
          <w:i/>
          <w:sz w:val="20"/>
          <w:szCs w:val="20"/>
        </w:rPr>
        <w:t>atural convection</w:t>
      </w:r>
      <w:r w:rsidR="0035791C">
        <w:rPr>
          <w:sz w:val="20"/>
          <w:szCs w:val="20"/>
        </w:rPr>
        <w:t xml:space="preserve">, </w:t>
      </w:r>
      <w:r w:rsidR="0035791C" w:rsidRPr="0035791C">
        <w:rPr>
          <w:i/>
          <w:sz w:val="20"/>
          <w:szCs w:val="20"/>
        </w:rPr>
        <w:t>H</w:t>
      </w:r>
      <w:r w:rsidR="00FD0268" w:rsidRPr="0035791C">
        <w:rPr>
          <w:i/>
          <w:sz w:val="20"/>
          <w:szCs w:val="20"/>
        </w:rPr>
        <w:t>eat transfer</w:t>
      </w:r>
    </w:p>
    <w:p w14:paraId="13E36396" w14:textId="77777777" w:rsidR="00887784" w:rsidRPr="0035791C" w:rsidRDefault="00887784" w:rsidP="00887784">
      <w:pPr>
        <w:rPr>
          <w:sz w:val="20"/>
          <w:szCs w:val="20"/>
        </w:rPr>
      </w:pPr>
    </w:p>
    <w:p w14:paraId="46BD9DE6" w14:textId="29856589" w:rsidR="00887784" w:rsidRPr="00C24CFD" w:rsidRDefault="00C24CFD" w:rsidP="00C24CFD">
      <w:pPr>
        <w:pStyle w:val="maintext"/>
        <w:ind w:firstLine="0"/>
        <w:rPr>
          <w:rFonts w:eastAsiaTheme="minorEastAsia" w:hint="eastAsia"/>
          <w:b/>
          <w:bCs/>
          <w:lang w:eastAsia="zh-CN"/>
        </w:rPr>
      </w:pPr>
      <w:r w:rsidRPr="00C24CFD">
        <w:rPr>
          <w:rFonts w:eastAsiaTheme="minorEastAsia" w:hint="eastAsia"/>
          <w:b/>
          <w:bCs/>
          <w:lang w:eastAsia="zh-CN"/>
        </w:rPr>
        <w:t>A</w:t>
      </w:r>
      <w:r w:rsidRPr="00C24CFD">
        <w:rPr>
          <w:rFonts w:eastAsiaTheme="minorEastAsia"/>
          <w:b/>
          <w:bCs/>
          <w:lang w:eastAsia="zh-CN"/>
        </w:rPr>
        <w:t>bstract figure</w:t>
      </w:r>
      <w:r>
        <w:rPr>
          <w:rFonts w:eastAsiaTheme="minorEastAsia"/>
          <w:b/>
          <w:bCs/>
          <w:lang w:eastAsia="zh-CN"/>
        </w:rPr>
        <w:t xml:space="preserve"> (if available)</w:t>
      </w:r>
      <w:r w:rsidRPr="00C24CFD">
        <w:rPr>
          <w:rFonts w:eastAsiaTheme="minorEastAsia"/>
          <w:b/>
          <w:bCs/>
          <w:lang w:eastAsia="zh-CN"/>
        </w:rPr>
        <w:t>:</w:t>
      </w:r>
    </w:p>
    <w:p w14:paraId="7C123140" w14:textId="4CD7452D" w:rsidR="00887784" w:rsidRPr="00F265DC" w:rsidRDefault="00C61820" w:rsidP="00887784">
      <w:pPr>
        <w:jc w:val="center"/>
        <w:rPr>
          <w:sz w:val="20"/>
          <w:szCs w:val="20"/>
        </w:rPr>
      </w:pPr>
      <w:r w:rsidRPr="00887784">
        <w:rPr>
          <w:noProof/>
          <w:sz w:val="20"/>
          <w:szCs w:val="20"/>
          <w:lang w:val="en-US" w:eastAsia="zh-CN"/>
        </w:rPr>
        <w:drawing>
          <wp:inline distT="0" distB="0" distL="0" distR="0" wp14:anchorId="2172947B" wp14:editId="54388455">
            <wp:extent cx="1459230" cy="2698115"/>
            <wp:effectExtent l="9207"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459230" cy="2698115"/>
                    </a:xfrm>
                    <a:prstGeom prst="rect">
                      <a:avLst/>
                    </a:prstGeom>
                    <a:noFill/>
                    <a:ln>
                      <a:noFill/>
                    </a:ln>
                  </pic:spPr>
                </pic:pic>
              </a:graphicData>
            </a:graphic>
          </wp:inline>
        </w:drawing>
      </w:r>
    </w:p>
    <w:p w14:paraId="60F850BF" w14:textId="77777777" w:rsidR="00887784" w:rsidRPr="00F265DC" w:rsidRDefault="00887784" w:rsidP="00887784">
      <w:pPr>
        <w:pStyle w:val="Namefigureandtable"/>
      </w:pPr>
      <w:r w:rsidRPr="00611708">
        <w:rPr>
          <w:b/>
        </w:rPr>
        <w:t>Fig.1</w:t>
      </w:r>
      <w:r w:rsidR="00611708" w:rsidRPr="00611708">
        <w:rPr>
          <w:b/>
        </w:rPr>
        <w:t>.</w:t>
      </w:r>
      <w:r w:rsidRPr="00F265DC">
        <w:t xml:space="preserve"> The sectional view of the physical model.</w:t>
      </w:r>
    </w:p>
    <w:p w14:paraId="4F2033DD" w14:textId="77777777" w:rsidR="00237F95" w:rsidRPr="00CE3912" w:rsidRDefault="00237F95" w:rsidP="00237F95">
      <w:pPr>
        <w:pStyle w:val="maintext"/>
        <w:ind w:firstLine="0"/>
        <w:rPr>
          <w:bCs/>
        </w:rPr>
      </w:pPr>
    </w:p>
    <w:sectPr w:rsidR="00237F95" w:rsidRPr="00CE3912" w:rsidSect="00670757">
      <w:head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A6EF" w14:textId="77777777" w:rsidR="00B73C60" w:rsidRDefault="00B73C60">
      <w:r>
        <w:separator/>
      </w:r>
    </w:p>
  </w:endnote>
  <w:endnote w:type="continuationSeparator" w:id="0">
    <w:p w14:paraId="217A1DF2" w14:textId="77777777" w:rsidR="00B73C60" w:rsidRDefault="00B7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CD60" w14:textId="77777777" w:rsidR="00B73C60" w:rsidRDefault="00B73C60">
      <w:r>
        <w:separator/>
      </w:r>
    </w:p>
  </w:footnote>
  <w:footnote w:type="continuationSeparator" w:id="0">
    <w:p w14:paraId="61E983FF" w14:textId="77777777" w:rsidR="00B73C60" w:rsidRDefault="00B7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170E" w14:textId="77777777" w:rsidR="00670757" w:rsidRDefault="00670757" w:rsidP="00670757">
    <w:pPr>
      <w:ind w:right="540"/>
      <w:jc w:val="right"/>
      <w:rPr>
        <w:sz w:val="18"/>
        <w:szCs w:val="18"/>
        <w:lang w:val="en-US"/>
      </w:rPr>
    </w:pPr>
    <w:r w:rsidRPr="00960C35">
      <w:rPr>
        <w:sz w:val="18"/>
        <w:szCs w:val="18"/>
        <w:lang w:val="en-US"/>
      </w:rPr>
      <w:t>2</w:t>
    </w:r>
    <w:r w:rsidRPr="00960C35">
      <w:rPr>
        <w:sz w:val="18"/>
        <w:szCs w:val="18"/>
        <w:vertAlign w:val="superscript"/>
        <w:lang w:val="en-US"/>
      </w:rPr>
      <w:t>nd</w:t>
    </w:r>
    <w:r>
      <w:rPr>
        <w:sz w:val="18"/>
        <w:szCs w:val="18"/>
        <w:lang w:val="en-US"/>
      </w:rPr>
      <w:t xml:space="preserve"> </w:t>
    </w:r>
    <w:r w:rsidRPr="00960C35">
      <w:rPr>
        <w:sz w:val="18"/>
        <w:szCs w:val="18"/>
        <w:lang w:val="en-US"/>
      </w:rPr>
      <w:t>International Conference of Energy Storage and Saving</w:t>
    </w:r>
  </w:p>
  <w:p w14:paraId="54826F2A" w14:textId="0F202850" w:rsidR="00670757" w:rsidRDefault="00670757" w:rsidP="00670757">
    <w:pPr>
      <w:ind w:right="540"/>
      <w:jc w:val="right"/>
      <w:rPr>
        <w:sz w:val="18"/>
        <w:szCs w:val="18"/>
        <w:lang w:val="en-US"/>
      </w:rPr>
    </w:pPr>
    <w:r w:rsidRPr="00960C35">
      <w:rPr>
        <w:sz w:val="18"/>
        <w:szCs w:val="18"/>
        <w:lang w:val="en-US"/>
      </w:rPr>
      <w:t>ICENSS</w:t>
    </w:r>
    <w:r>
      <w:rPr>
        <w:sz w:val="18"/>
        <w:szCs w:val="18"/>
        <w:lang w:val="en-US"/>
      </w:rPr>
      <w:t xml:space="preserve"> – 2023</w:t>
    </w:r>
  </w:p>
  <w:p w14:paraId="417196A6" w14:textId="3DAD3632" w:rsidR="00670757" w:rsidRPr="00BA743A" w:rsidRDefault="00670757" w:rsidP="00670757">
    <w:pPr>
      <w:ind w:right="540"/>
      <w:jc w:val="right"/>
      <w:rPr>
        <w:sz w:val="18"/>
        <w:szCs w:val="18"/>
        <w:lang w:val="en-US"/>
      </w:rPr>
    </w:pPr>
    <w:r>
      <w:rPr>
        <w:sz w:val="18"/>
        <w:szCs w:val="18"/>
        <w:lang w:val="en-US"/>
      </w:rPr>
      <w:t>November</w:t>
    </w:r>
    <w:r w:rsidRPr="002D4137">
      <w:rPr>
        <w:sz w:val="18"/>
        <w:szCs w:val="18"/>
        <w:lang w:val="en-US"/>
      </w:rPr>
      <w:t xml:space="preserve"> </w:t>
    </w:r>
    <w:r w:rsidRPr="00BA743A">
      <w:rPr>
        <w:sz w:val="18"/>
        <w:szCs w:val="18"/>
        <w:lang w:val="en-US"/>
      </w:rPr>
      <w:t>24-27, 2023</w:t>
    </w:r>
    <w:r w:rsidRPr="002D4137">
      <w:rPr>
        <w:sz w:val="18"/>
        <w:szCs w:val="18"/>
        <w:lang w:val="en-US"/>
      </w:rPr>
      <w:t xml:space="preserve">, </w:t>
    </w:r>
    <w:r w:rsidRPr="00BA743A">
      <w:rPr>
        <w:sz w:val="18"/>
        <w:szCs w:val="18"/>
        <w:lang w:val="en-US"/>
      </w:rPr>
      <w:t>Xi’an, China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70757" w:rsidRPr="008122BE" w14:paraId="4AD626EC" w14:textId="77777777" w:rsidTr="008122BE">
      <w:trPr>
        <w:trHeight w:val="343"/>
      </w:trPr>
      <w:tc>
        <w:tcPr>
          <w:tcW w:w="2552" w:type="dxa"/>
          <w:vMerge w:val="restart"/>
          <w:vAlign w:val="center"/>
        </w:tcPr>
        <w:p w14:paraId="5A600D53" w14:textId="69FBA271" w:rsidR="00670757" w:rsidRPr="008122BE" w:rsidRDefault="00670757" w:rsidP="00670757">
          <w:pPr>
            <w:spacing w:line="240" w:lineRule="auto"/>
            <w:jc w:val="center"/>
            <w:rPr>
              <w:rFonts w:eastAsiaTheme="minorEastAsia"/>
              <w:sz w:val="20"/>
              <w:szCs w:val="20"/>
              <w:lang w:val="en-US" w:eastAsia="zh-CN"/>
            </w:rPr>
          </w:pPr>
          <w:r>
            <w:rPr>
              <w:noProof/>
            </w:rPr>
            <w:drawing>
              <wp:inline distT="0" distB="0" distL="0" distR="0" wp14:anchorId="4714FF47" wp14:editId="66E379D6">
                <wp:extent cx="610712" cy="589694"/>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978" cy="616022"/>
                        </a:xfrm>
                        <a:prstGeom prst="rect">
                          <a:avLst/>
                        </a:prstGeom>
                        <a:noFill/>
                        <a:ln>
                          <a:noFill/>
                        </a:ln>
                      </pic:spPr>
                    </pic:pic>
                  </a:graphicData>
                </a:graphic>
              </wp:inline>
            </w:drawing>
          </w:r>
          <w:r w:rsidR="008122BE">
            <w:rPr>
              <w:rFonts w:eastAsiaTheme="minorEastAsia" w:hint="eastAsia"/>
              <w:sz w:val="20"/>
              <w:szCs w:val="20"/>
              <w:lang w:val="en-US" w:eastAsia="zh-CN"/>
            </w:rPr>
            <w:t xml:space="preserve"> </w:t>
          </w:r>
        </w:p>
      </w:tc>
      <w:tc>
        <w:tcPr>
          <w:tcW w:w="6508" w:type="dxa"/>
          <w:vAlign w:val="center"/>
        </w:tcPr>
        <w:p w14:paraId="31EC21B7" w14:textId="7593BACA" w:rsidR="00670757" w:rsidRPr="008122BE" w:rsidRDefault="00670757" w:rsidP="00670757">
          <w:pPr>
            <w:wordWrap w:val="0"/>
            <w:spacing w:line="240" w:lineRule="auto"/>
            <w:jc w:val="right"/>
            <w:rPr>
              <w:rFonts w:ascii="Arial" w:hAnsi="Arial" w:cs="Arial"/>
              <w:b/>
              <w:bCs/>
              <w:sz w:val="22"/>
              <w:lang w:val="en-US"/>
            </w:rPr>
          </w:pPr>
          <w:r w:rsidRPr="008122BE">
            <w:rPr>
              <w:rFonts w:ascii="Arial" w:hAnsi="Arial" w:cs="Arial"/>
              <w:b/>
              <w:bCs/>
              <w:sz w:val="22"/>
              <w:lang w:val="en-US"/>
            </w:rPr>
            <w:t>2</w:t>
          </w:r>
          <w:r w:rsidRPr="008122BE">
            <w:rPr>
              <w:rFonts w:ascii="Arial" w:hAnsi="Arial" w:cs="Arial"/>
              <w:b/>
              <w:bCs/>
              <w:sz w:val="22"/>
              <w:vertAlign w:val="superscript"/>
              <w:lang w:val="en-US"/>
            </w:rPr>
            <w:t>nd</w:t>
          </w:r>
          <w:r w:rsidRPr="008122BE">
            <w:rPr>
              <w:rFonts w:ascii="Arial" w:hAnsi="Arial" w:cs="Arial"/>
              <w:b/>
              <w:bCs/>
              <w:sz w:val="22"/>
              <w:lang w:val="en-US"/>
            </w:rPr>
            <w:t xml:space="preserve"> International Conference of Energy Storage and Saving</w:t>
          </w:r>
          <w:r w:rsidR="008122BE" w:rsidRPr="008122BE">
            <w:rPr>
              <w:rFonts w:ascii="Arial" w:hAnsi="Arial" w:cs="Arial"/>
              <w:b/>
              <w:bCs/>
              <w:sz w:val="22"/>
              <w:lang w:val="en-US"/>
            </w:rPr>
            <w:t xml:space="preserve"> </w:t>
          </w:r>
        </w:p>
      </w:tc>
    </w:tr>
    <w:tr w:rsidR="00670757" w:rsidRPr="008122BE" w14:paraId="238FDF5B" w14:textId="77777777" w:rsidTr="008122BE">
      <w:trPr>
        <w:trHeight w:val="343"/>
      </w:trPr>
      <w:tc>
        <w:tcPr>
          <w:tcW w:w="2552" w:type="dxa"/>
          <w:vMerge/>
          <w:vAlign w:val="center"/>
        </w:tcPr>
        <w:p w14:paraId="14A0037A" w14:textId="77777777" w:rsidR="00670757" w:rsidRPr="00670757" w:rsidRDefault="00670757" w:rsidP="00670757">
          <w:pPr>
            <w:wordWrap w:val="0"/>
            <w:rPr>
              <w:sz w:val="20"/>
              <w:szCs w:val="20"/>
              <w:lang w:val="en-US"/>
            </w:rPr>
          </w:pPr>
        </w:p>
      </w:tc>
      <w:tc>
        <w:tcPr>
          <w:tcW w:w="6508" w:type="dxa"/>
          <w:vAlign w:val="center"/>
        </w:tcPr>
        <w:p w14:paraId="59B22DB2" w14:textId="3F71CD3F" w:rsidR="00670757" w:rsidRPr="008122BE" w:rsidRDefault="00670757" w:rsidP="00670757">
          <w:pPr>
            <w:wordWrap w:val="0"/>
            <w:spacing w:line="240" w:lineRule="auto"/>
            <w:jc w:val="right"/>
            <w:rPr>
              <w:rFonts w:ascii="Arial" w:hAnsi="Arial" w:cs="Arial"/>
              <w:b/>
              <w:bCs/>
              <w:sz w:val="22"/>
              <w:lang w:val="en-US"/>
            </w:rPr>
          </w:pPr>
          <w:r w:rsidRPr="008122BE">
            <w:rPr>
              <w:rFonts w:ascii="Arial" w:hAnsi="Arial" w:cs="Arial"/>
              <w:b/>
              <w:bCs/>
              <w:sz w:val="22"/>
              <w:lang w:val="en-US"/>
            </w:rPr>
            <w:t>ICENSS – 2023</w:t>
          </w:r>
          <w:r w:rsidR="008122BE" w:rsidRPr="008122BE">
            <w:rPr>
              <w:rFonts w:ascii="Arial" w:hAnsi="Arial" w:cs="Arial"/>
              <w:b/>
              <w:bCs/>
              <w:sz w:val="22"/>
              <w:lang w:val="en-US"/>
            </w:rPr>
            <w:t xml:space="preserve"> </w:t>
          </w:r>
        </w:p>
      </w:tc>
    </w:tr>
    <w:tr w:rsidR="00670757" w:rsidRPr="008122BE" w14:paraId="2B53C0B7" w14:textId="77777777" w:rsidTr="008122BE">
      <w:trPr>
        <w:trHeight w:val="344"/>
      </w:trPr>
      <w:tc>
        <w:tcPr>
          <w:tcW w:w="2552" w:type="dxa"/>
          <w:vMerge/>
          <w:vAlign w:val="center"/>
        </w:tcPr>
        <w:p w14:paraId="617869CB" w14:textId="77777777" w:rsidR="00670757" w:rsidRPr="00670757" w:rsidRDefault="00670757" w:rsidP="00670757">
          <w:pPr>
            <w:wordWrap w:val="0"/>
            <w:rPr>
              <w:sz w:val="20"/>
              <w:szCs w:val="20"/>
              <w:lang w:val="en-US"/>
            </w:rPr>
          </w:pPr>
        </w:p>
      </w:tc>
      <w:tc>
        <w:tcPr>
          <w:tcW w:w="6508" w:type="dxa"/>
          <w:vAlign w:val="center"/>
        </w:tcPr>
        <w:p w14:paraId="637F7260" w14:textId="0BDBB917" w:rsidR="00670757" w:rsidRPr="008122BE" w:rsidRDefault="00670757" w:rsidP="00670757">
          <w:pPr>
            <w:wordWrap w:val="0"/>
            <w:spacing w:line="240" w:lineRule="auto"/>
            <w:jc w:val="right"/>
            <w:rPr>
              <w:rFonts w:ascii="Arial" w:hAnsi="Arial" w:cs="Arial"/>
              <w:b/>
              <w:bCs/>
              <w:sz w:val="22"/>
              <w:lang w:val="en-US"/>
            </w:rPr>
          </w:pPr>
          <w:r w:rsidRPr="008122BE">
            <w:rPr>
              <w:rFonts w:ascii="Arial" w:hAnsi="Arial" w:cs="Arial"/>
              <w:b/>
              <w:bCs/>
              <w:sz w:val="22"/>
              <w:lang w:val="en-US"/>
            </w:rPr>
            <w:t>November 24-27, 2023, Xi’an, China</w:t>
          </w:r>
          <w:r w:rsidR="008122BE" w:rsidRPr="008122BE">
            <w:rPr>
              <w:rFonts w:ascii="Arial" w:hAnsi="Arial" w:cs="Arial"/>
              <w:b/>
              <w:bCs/>
              <w:sz w:val="22"/>
              <w:lang w:val="en-US"/>
            </w:rPr>
            <w:t xml:space="preserve"> </w:t>
          </w:r>
        </w:p>
      </w:tc>
    </w:tr>
  </w:tbl>
  <w:p w14:paraId="6107E6D9" w14:textId="77777777" w:rsidR="00670757" w:rsidRDefault="00670757" w:rsidP="00974750">
    <w:pPr>
      <w:pStyle w:val="a9"/>
      <w:spacing w:line="2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E3D7ABD"/>
    <w:multiLevelType w:val="hybridMultilevel"/>
    <w:tmpl w:val="F1C4832E"/>
    <w:lvl w:ilvl="0" w:tplc="B3BA8B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283FA9"/>
    <w:multiLevelType w:val="multilevel"/>
    <w:tmpl w:val="04190023"/>
    <w:lvl w:ilvl="0">
      <w:start w:val="1"/>
      <w:numFmt w:val="upperRoman"/>
      <w:lvlText w:val="Статья %1."/>
      <w:lvlJc w:val="left"/>
      <w:pPr>
        <w:tabs>
          <w:tab w:val="num" w:pos="2520"/>
        </w:tabs>
        <w:ind w:left="0" w:firstLine="0"/>
      </w:pPr>
    </w:lvl>
    <w:lvl w:ilvl="1">
      <w:start w:val="1"/>
      <w:numFmt w:val="decimalZero"/>
      <w:isLgl/>
      <w:lvlText w:val="Раздел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52C76F70"/>
    <w:multiLevelType w:val="hybridMultilevel"/>
    <w:tmpl w:val="C6647282"/>
    <w:lvl w:ilvl="0" w:tplc="E514BC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CE5D00"/>
    <w:multiLevelType w:val="multilevel"/>
    <w:tmpl w:val="3128110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4"/>
  </w:num>
  <w:num w:numId="30">
    <w:abstractNumId w:val="0"/>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30"/>
    <w:rsid w:val="0002112D"/>
    <w:rsid w:val="000257CB"/>
    <w:rsid w:val="0002726B"/>
    <w:rsid w:val="00034E73"/>
    <w:rsid w:val="000560AA"/>
    <w:rsid w:val="000747E8"/>
    <w:rsid w:val="00087699"/>
    <w:rsid w:val="000A2A10"/>
    <w:rsid w:val="000A3AE8"/>
    <w:rsid w:val="000A541C"/>
    <w:rsid w:val="000B74F9"/>
    <w:rsid w:val="000C667F"/>
    <w:rsid w:val="000C67FF"/>
    <w:rsid w:val="000D0C28"/>
    <w:rsid w:val="000D60A1"/>
    <w:rsid w:val="000D6E98"/>
    <w:rsid w:val="000E2413"/>
    <w:rsid w:val="000E6937"/>
    <w:rsid w:val="000E6FF4"/>
    <w:rsid w:val="00113C61"/>
    <w:rsid w:val="00121E0E"/>
    <w:rsid w:val="00133B45"/>
    <w:rsid w:val="00153868"/>
    <w:rsid w:val="00155A01"/>
    <w:rsid w:val="00162173"/>
    <w:rsid w:val="0018284B"/>
    <w:rsid w:val="0018477B"/>
    <w:rsid w:val="0019140C"/>
    <w:rsid w:val="0019193C"/>
    <w:rsid w:val="001E324E"/>
    <w:rsid w:val="001E4380"/>
    <w:rsid w:val="001F0585"/>
    <w:rsid w:val="001F07B3"/>
    <w:rsid w:val="00206D6F"/>
    <w:rsid w:val="00217327"/>
    <w:rsid w:val="00222B9E"/>
    <w:rsid w:val="00237F95"/>
    <w:rsid w:val="00242E83"/>
    <w:rsid w:val="00254DC9"/>
    <w:rsid w:val="00266AA8"/>
    <w:rsid w:val="00272DD8"/>
    <w:rsid w:val="00274C9C"/>
    <w:rsid w:val="0029476C"/>
    <w:rsid w:val="00295C22"/>
    <w:rsid w:val="002A00C0"/>
    <w:rsid w:val="002B19DB"/>
    <w:rsid w:val="002C2511"/>
    <w:rsid w:val="002C505C"/>
    <w:rsid w:val="002D1999"/>
    <w:rsid w:val="002D5376"/>
    <w:rsid w:val="002E6C6F"/>
    <w:rsid w:val="002F2956"/>
    <w:rsid w:val="00311D7A"/>
    <w:rsid w:val="00313557"/>
    <w:rsid w:val="00315366"/>
    <w:rsid w:val="0035473E"/>
    <w:rsid w:val="0035721A"/>
    <w:rsid w:val="0035788F"/>
    <w:rsid w:val="0035791C"/>
    <w:rsid w:val="00366180"/>
    <w:rsid w:val="00384BF4"/>
    <w:rsid w:val="003A1761"/>
    <w:rsid w:val="003A5F1C"/>
    <w:rsid w:val="003B03C8"/>
    <w:rsid w:val="003B5303"/>
    <w:rsid w:val="003B69F5"/>
    <w:rsid w:val="003D35E4"/>
    <w:rsid w:val="003D3A7D"/>
    <w:rsid w:val="003D7FAA"/>
    <w:rsid w:val="003E3722"/>
    <w:rsid w:val="003E4110"/>
    <w:rsid w:val="003F0BB3"/>
    <w:rsid w:val="003F7EDC"/>
    <w:rsid w:val="00424313"/>
    <w:rsid w:val="00424C6E"/>
    <w:rsid w:val="0043435C"/>
    <w:rsid w:val="004421C1"/>
    <w:rsid w:val="00444428"/>
    <w:rsid w:val="00447439"/>
    <w:rsid w:val="00452ABE"/>
    <w:rsid w:val="004611ED"/>
    <w:rsid w:val="0049079F"/>
    <w:rsid w:val="004B111D"/>
    <w:rsid w:val="004C0C83"/>
    <w:rsid w:val="004C3745"/>
    <w:rsid w:val="004D0740"/>
    <w:rsid w:val="004D791D"/>
    <w:rsid w:val="004E486F"/>
    <w:rsid w:val="004F44C2"/>
    <w:rsid w:val="00520E5A"/>
    <w:rsid w:val="005259A0"/>
    <w:rsid w:val="005508BB"/>
    <w:rsid w:val="00552E9A"/>
    <w:rsid w:val="00557F9D"/>
    <w:rsid w:val="00560BC6"/>
    <w:rsid w:val="00563795"/>
    <w:rsid w:val="00565F70"/>
    <w:rsid w:val="00566062"/>
    <w:rsid w:val="00566F68"/>
    <w:rsid w:val="00574101"/>
    <w:rsid w:val="00585050"/>
    <w:rsid w:val="0058579B"/>
    <w:rsid w:val="0059205F"/>
    <w:rsid w:val="005936D6"/>
    <w:rsid w:val="005A12A7"/>
    <w:rsid w:val="005B6089"/>
    <w:rsid w:val="005C0B77"/>
    <w:rsid w:val="005C6554"/>
    <w:rsid w:val="005D24F2"/>
    <w:rsid w:val="005F1594"/>
    <w:rsid w:val="005F7186"/>
    <w:rsid w:val="005F7F73"/>
    <w:rsid w:val="00611708"/>
    <w:rsid w:val="00612C47"/>
    <w:rsid w:val="00642CAC"/>
    <w:rsid w:val="00647689"/>
    <w:rsid w:val="006665A2"/>
    <w:rsid w:val="00670757"/>
    <w:rsid w:val="0067412C"/>
    <w:rsid w:val="006954AC"/>
    <w:rsid w:val="006A2E9C"/>
    <w:rsid w:val="006A539A"/>
    <w:rsid w:val="006B0D57"/>
    <w:rsid w:val="006C56FB"/>
    <w:rsid w:val="006D45AE"/>
    <w:rsid w:val="006E5C01"/>
    <w:rsid w:val="006F253D"/>
    <w:rsid w:val="006F423D"/>
    <w:rsid w:val="00710FC7"/>
    <w:rsid w:val="0071630E"/>
    <w:rsid w:val="00722651"/>
    <w:rsid w:val="0073591B"/>
    <w:rsid w:val="00742DAD"/>
    <w:rsid w:val="00747B86"/>
    <w:rsid w:val="007523A5"/>
    <w:rsid w:val="00761C37"/>
    <w:rsid w:val="00762ED1"/>
    <w:rsid w:val="00790E90"/>
    <w:rsid w:val="007918D8"/>
    <w:rsid w:val="00792CA6"/>
    <w:rsid w:val="007953D2"/>
    <w:rsid w:val="00797D56"/>
    <w:rsid w:val="007B4DB0"/>
    <w:rsid w:val="007C0B1E"/>
    <w:rsid w:val="007C1806"/>
    <w:rsid w:val="007D2576"/>
    <w:rsid w:val="007F0EB6"/>
    <w:rsid w:val="008122BE"/>
    <w:rsid w:val="00813A20"/>
    <w:rsid w:val="00836B6B"/>
    <w:rsid w:val="00841AE9"/>
    <w:rsid w:val="008533E7"/>
    <w:rsid w:val="008562D5"/>
    <w:rsid w:val="00866DE8"/>
    <w:rsid w:val="00887784"/>
    <w:rsid w:val="00893261"/>
    <w:rsid w:val="008A2B3E"/>
    <w:rsid w:val="008B518C"/>
    <w:rsid w:val="008D2316"/>
    <w:rsid w:val="008E420B"/>
    <w:rsid w:val="008F2A62"/>
    <w:rsid w:val="00901E88"/>
    <w:rsid w:val="00904CD2"/>
    <w:rsid w:val="00907875"/>
    <w:rsid w:val="00910D00"/>
    <w:rsid w:val="00917188"/>
    <w:rsid w:val="00917740"/>
    <w:rsid w:val="009235D0"/>
    <w:rsid w:val="0092518A"/>
    <w:rsid w:val="009450A3"/>
    <w:rsid w:val="00960C35"/>
    <w:rsid w:val="00974750"/>
    <w:rsid w:val="00985308"/>
    <w:rsid w:val="009862B4"/>
    <w:rsid w:val="0098646F"/>
    <w:rsid w:val="00990F06"/>
    <w:rsid w:val="009A447B"/>
    <w:rsid w:val="009C0663"/>
    <w:rsid w:val="009C4B24"/>
    <w:rsid w:val="009D3A2E"/>
    <w:rsid w:val="009D3A76"/>
    <w:rsid w:val="009D3BBD"/>
    <w:rsid w:val="009D574A"/>
    <w:rsid w:val="009E38F1"/>
    <w:rsid w:val="00A16264"/>
    <w:rsid w:val="00A16E17"/>
    <w:rsid w:val="00A2304F"/>
    <w:rsid w:val="00A44C9F"/>
    <w:rsid w:val="00A46520"/>
    <w:rsid w:val="00A5145F"/>
    <w:rsid w:val="00A52C04"/>
    <w:rsid w:val="00A55A8C"/>
    <w:rsid w:val="00A61139"/>
    <w:rsid w:val="00A71E02"/>
    <w:rsid w:val="00A834BD"/>
    <w:rsid w:val="00A83A12"/>
    <w:rsid w:val="00A83D02"/>
    <w:rsid w:val="00AC5707"/>
    <w:rsid w:val="00AF077A"/>
    <w:rsid w:val="00AF54DC"/>
    <w:rsid w:val="00B02F00"/>
    <w:rsid w:val="00B0421D"/>
    <w:rsid w:val="00B11CF7"/>
    <w:rsid w:val="00B14712"/>
    <w:rsid w:val="00B16B4D"/>
    <w:rsid w:val="00B22D8F"/>
    <w:rsid w:val="00B42F4F"/>
    <w:rsid w:val="00B444D1"/>
    <w:rsid w:val="00B467A1"/>
    <w:rsid w:val="00B60B72"/>
    <w:rsid w:val="00B61792"/>
    <w:rsid w:val="00B708F6"/>
    <w:rsid w:val="00B73C60"/>
    <w:rsid w:val="00B76B3A"/>
    <w:rsid w:val="00B87C3A"/>
    <w:rsid w:val="00B95A65"/>
    <w:rsid w:val="00BA743A"/>
    <w:rsid w:val="00BB5B6D"/>
    <w:rsid w:val="00BC29A9"/>
    <w:rsid w:val="00BC6355"/>
    <w:rsid w:val="00BD061E"/>
    <w:rsid w:val="00BD6644"/>
    <w:rsid w:val="00BE758F"/>
    <w:rsid w:val="00C064FC"/>
    <w:rsid w:val="00C13D88"/>
    <w:rsid w:val="00C173DF"/>
    <w:rsid w:val="00C179B8"/>
    <w:rsid w:val="00C235E6"/>
    <w:rsid w:val="00C24CFD"/>
    <w:rsid w:val="00C3552E"/>
    <w:rsid w:val="00C4065F"/>
    <w:rsid w:val="00C43137"/>
    <w:rsid w:val="00C521F8"/>
    <w:rsid w:val="00C547B3"/>
    <w:rsid w:val="00C56FD0"/>
    <w:rsid w:val="00C61820"/>
    <w:rsid w:val="00C672D8"/>
    <w:rsid w:val="00C705C7"/>
    <w:rsid w:val="00C812F7"/>
    <w:rsid w:val="00C81652"/>
    <w:rsid w:val="00C81B56"/>
    <w:rsid w:val="00CA5E09"/>
    <w:rsid w:val="00CB3B15"/>
    <w:rsid w:val="00CC0F86"/>
    <w:rsid w:val="00CC16F2"/>
    <w:rsid w:val="00CC1F61"/>
    <w:rsid w:val="00CC5A50"/>
    <w:rsid w:val="00CE08AB"/>
    <w:rsid w:val="00CE3912"/>
    <w:rsid w:val="00CF1C4A"/>
    <w:rsid w:val="00D020F7"/>
    <w:rsid w:val="00D02164"/>
    <w:rsid w:val="00D13F8C"/>
    <w:rsid w:val="00D22CB7"/>
    <w:rsid w:val="00D35185"/>
    <w:rsid w:val="00D41E8D"/>
    <w:rsid w:val="00D46D09"/>
    <w:rsid w:val="00D71628"/>
    <w:rsid w:val="00D81497"/>
    <w:rsid w:val="00D82FCB"/>
    <w:rsid w:val="00DB1FE0"/>
    <w:rsid w:val="00DD5206"/>
    <w:rsid w:val="00DE174A"/>
    <w:rsid w:val="00DE5695"/>
    <w:rsid w:val="00E12557"/>
    <w:rsid w:val="00E13FA3"/>
    <w:rsid w:val="00E165D5"/>
    <w:rsid w:val="00E16F93"/>
    <w:rsid w:val="00E27B8A"/>
    <w:rsid w:val="00E35F62"/>
    <w:rsid w:val="00E40B80"/>
    <w:rsid w:val="00E44082"/>
    <w:rsid w:val="00E57A04"/>
    <w:rsid w:val="00E62314"/>
    <w:rsid w:val="00E85898"/>
    <w:rsid w:val="00E86513"/>
    <w:rsid w:val="00EC58E0"/>
    <w:rsid w:val="00EC5930"/>
    <w:rsid w:val="00ED267C"/>
    <w:rsid w:val="00ED5A59"/>
    <w:rsid w:val="00EF7678"/>
    <w:rsid w:val="00EF7CDE"/>
    <w:rsid w:val="00F03EC9"/>
    <w:rsid w:val="00F16C3F"/>
    <w:rsid w:val="00F26B6C"/>
    <w:rsid w:val="00F37CBE"/>
    <w:rsid w:val="00F42EF8"/>
    <w:rsid w:val="00F44A71"/>
    <w:rsid w:val="00F52EE6"/>
    <w:rsid w:val="00F63BB7"/>
    <w:rsid w:val="00F92495"/>
    <w:rsid w:val="00FA1D8A"/>
    <w:rsid w:val="00FB4577"/>
    <w:rsid w:val="00FD0268"/>
    <w:rsid w:val="00FD35ED"/>
    <w:rsid w:val="00FD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F1095"/>
  <w15:chartTrackingRefBased/>
  <w15:docId w15:val="{27842607-47A6-49B4-B79B-D1FB3214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5930"/>
    <w:rPr>
      <w:rFonts w:eastAsia="Calibri"/>
      <w:sz w:val="24"/>
      <w:szCs w:val="22"/>
      <w:lang w:val="ru-RU" w:eastAsia="en-US"/>
    </w:rPr>
  </w:style>
  <w:style w:type="paragraph" w:styleId="1">
    <w:name w:val="heading 1"/>
    <w:basedOn w:val="a"/>
    <w:next w:val="a"/>
    <w:link w:val="10"/>
    <w:uiPriority w:val="9"/>
    <w:qFormat/>
    <w:rsid w:val="000211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211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2112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02112D"/>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semiHidden/>
    <w:unhideWhenUsed/>
    <w:qFormat/>
    <w:rsid w:val="0002112D"/>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semiHidden/>
    <w:unhideWhenUsed/>
    <w:qFormat/>
    <w:rsid w:val="0002112D"/>
    <w:pPr>
      <w:spacing w:before="240" w:after="60"/>
      <w:outlineLvl w:val="5"/>
    </w:pPr>
    <w:rPr>
      <w:rFonts w:ascii="Calibri" w:eastAsia="Times New Roman" w:hAnsi="Calibri"/>
      <w:b/>
      <w:bCs/>
      <w:sz w:val="22"/>
    </w:rPr>
  </w:style>
  <w:style w:type="paragraph" w:styleId="7">
    <w:name w:val="heading 7"/>
    <w:basedOn w:val="a"/>
    <w:next w:val="a"/>
    <w:link w:val="70"/>
    <w:uiPriority w:val="9"/>
    <w:semiHidden/>
    <w:unhideWhenUsed/>
    <w:qFormat/>
    <w:rsid w:val="0002112D"/>
    <w:pPr>
      <w:spacing w:before="240" w:after="60"/>
      <w:outlineLvl w:val="6"/>
    </w:pPr>
    <w:rPr>
      <w:rFonts w:ascii="Calibri" w:eastAsia="Times New Roman" w:hAnsi="Calibri"/>
      <w:szCs w:val="24"/>
    </w:rPr>
  </w:style>
  <w:style w:type="paragraph" w:styleId="8">
    <w:name w:val="heading 8"/>
    <w:basedOn w:val="a"/>
    <w:next w:val="a"/>
    <w:link w:val="80"/>
    <w:uiPriority w:val="9"/>
    <w:semiHidden/>
    <w:unhideWhenUsed/>
    <w:qFormat/>
    <w:rsid w:val="0002112D"/>
    <w:pPr>
      <w:spacing w:before="240" w:after="60"/>
      <w:outlineLvl w:val="7"/>
    </w:pPr>
    <w:rPr>
      <w:rFonts w:ascii="Calibri" w:eastAsia="Times New Roman" w:hAnsi="Calibri"/>
      <w:i/>
      <w:iCs/>
      <w:szCs w:val="24"/>
    </w:rPr>
  </w:style>
  <w:style w:type="paragraph" w:styleId="9">
    <w:name w:val="heading 9"/>
    <w:basedOn w:val="a"/>
    <w:next w:val="a"/>
    <w:link w:val="90"/>
    <w:uiPriority w:val="9"/>
    <w:semiHidden/>
    <w:unhideWhenUsed/>
    <w:qFormat/>
    <w:rsid w:val="0002112D"/>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35788F"/>
    <w:rPr>
      <w:rFonts w:ascii="Cambria" w:eastAsia="Times New Roman" w:hAnsi="Cambria" w:cs="Times New Roman"/>
      <w:b/>
      <w:bCs/>
      <w:kern w:val="32"/>
      <w:sz w:val="32"/>
      <w:szCs w:val="32"/>
    </w:rPr>
  </w:style>
  <w:style w:type="character" w:customStyle="1" w:styleId="20">
    <w:name w:val="标题 2 字符"/>
    <w:link w:val="2"/>
    <w:uiPriority w:val="9"/>
    <w:semiHidden/>
    <w:rsid w:val="0035788F"/>
    <w:rPr>
      <w:rFonts w:ascii="Cambria" w:eastAsia="Times New Roman" w:hAnsi="Cambria" w:cs="Times New Roman"/>
      <w:b/>
      <w:bCs/>
      <w:i/>
      <w:iCs/>
      <w:sz w:val="28"/>
      <w:szCs w:val="28"/>
    </w:rPr>
  </w:style>
  <w:style w:type="character" w:customStyle="1" w:styleId="30">
    <w:name w:val="标题 3 字符"/>
    <w:link w:val="3"/>
    <w:uiPriority w:val="9"/>
    <w:semiHidden/>
    <w:rsid w:val="0035788F"/>
    <w:rPr>
      <w:rFonts w:ascii="Cambria" w:eastAsia="Times New Roman" w:hAnsi="Cambria" w:cs="Times New Roman"/>
      <w:b/>
      <w:bCs/>
      <w:sz w:val="26"/>
      <w:szCs w:val="26"/>
    </w:rPr>
  </w:style>
  <w:style w:type="character" w:customStyle="1" w:styleId="40">
    <w:name w:val="标题 4 字符"/>
    <w:link w:val="4"/>
    <w:uiPriority w:val="9"/>
    <w:semiHidden/>
    <w:rsid w:val="0035788F"/>
    <w:rPr>
      <w:rFonts w:ascii="Calibri" w:eastAsia="Times New Roman" w:hAnsi="Calibri" w:cs="Times New Roman"/>
      <w:b/>
      <w:bCs/>
      <w:sz w:val="28"/>
      <w:szCs w:val="28"/>
    </w:rPr>
  </w:style>
  <w:style w:type="character" w:customStyle="1" w:styleId="50">
    <w:name w:val="标题 5 字符"/>
    <w:link w:val="5"/>
    <w:uiPriority w:val="9"/>
    <w:semiHidden/>
    <w:rsid w:val="0035788F"/>
    <w:rPr>
      <w:rFonts w:ascii="Calibri" w:eastAsia="Times New Roman" w:hAnsi="Calibri" w:cs="Times New Roman"/>
      <w:b/>
      <w:bCs/>
      <w:i/>
      <w:iCs/>
      <w:sz w:val="26"/>
      <w:szCs w:val="26"/>
    </w:rPr>
  </w:style>
  <w:style w:type="character" w:customStyle="1" w:styleId="60">
    <w:name w:val="标题 6 字符"/>
    <w:link w:val="6"/>
    <w:uiPriority w:val="9"/>
    <w:semiHidden/>
    <w:rsid w:val="0035788F"/>
    <w:rPr>
      <w:rFonts w:ascii="Calibri" w:eastAsia="Times New Roman" w:hAnsi="Calibri" w:cs="Times New Roman"/>
      <w:b/>
      <w:bCs/>
      <w:sz w:val="22"/>
      <w:szCs w:val="22"/>
    </w:rPr>
  </w:style>
  <w:style w:type="character" w:customStyle="1" w:styleId="70">
    <w:name w:val="标题 7 字符"/>
    <w:link w:val="7"/>
    <w:uiPriority w:val="9"/>
    <w:semiHidden/>
    <w:rsid w:val="0035788F"/>
    <w:rPr>
      <w:rFonts w:ascii="Calibri" w:eastAsia="Times New Roman" w:hAnsi="Calibri" w:cs="Times New Roman"/>
      <w:sz w:val="24"/>
      <w:szCs w:val="24"/>
    </w:rPr>
  </w:style>
  <w:style w:type="character" w:customStyle="1" w:styleId="80">
    <w:name w:val="标题 8 字符"/>
    <w:link w:val="8"/>
    <w:uiPriority w:val="9"/>
    <w:semiHidden/>
    <w:rsid w:val="0035788F"/>
    <w:rPr>
      <w:rFonts w:ascii="Calibri" w:eastAsia="Times New Roman" w:hAnsi="Calibri" w:cs="Times New Roman"/>
      <w:i/>
      <w:iCs/>
      <w:sz w:val="24"/>
      <w:szCs w:val="24"/>
    </w:rPr>
  </w:style>
  <w:style w:type="character" w:customStyle="1" w:styleId="90">
    <w:name w:val="标题 9 字符"/>
    <w:link w:val="9"/>
    <w:uiPriority w:val="9"/>
    <w:semiHidden/>
    <w:rsid w:val="0035788F"/>
    <w:rPr>
      <w:rFonts w:ascii="Cambria" w:eastAsia="Times New Roman" w:hAnsi="Cambria" w:cs="Times New Roman"/>
      <w:sz w:val="22"/>
      <w:szCs w:val="22"/>
    </w:rPr>
  </w:style>
  <w:style w:type="paragraph" w:styleId="a3">
    <w:name w:val="No Spacing"/>
    <w:uiPriority w:val="1"/>
    <w:qFormat/>
    <w:rsid w:val="003F7EDC"/>
    <w:rPr>
      <w:sz w:val="24"/>
      <w:szCs w:val="24"/>
      <w:lang w:val="ru-RU" w:eastAsia="ru-RU"/>
    </w:rPr>
  </w:style>
  <w:style w:type="paragraph" w:styleId="a4">
    <w:name w:val="Title"/>
    <w:basedOn w:val="a"/>
    <w:next w:val="a"/>
    <w:link w:val="a5"/>
    <w:uiPriority w:val="10"/>
    <w:qFormat/>
    <w:rsid w:val="009862B4"/>
    <w:pPr>
      <w:spacing w:before="240" w:after="60"/>
      <w:jc w:val="center"/>
      <w:outlineLvl w:val="0"/>
    </w:pPr>
    <w:rPr>
      <w:rFonts w:ascii="Cambria" w:eastAsia="Times New Roman" w:hAnsi="Cambria"/>
      <w:b/>
      <w:bCs/>
      <w:kern w:val="28"/>
      <w:sz w:val="32"/>
      <w:szCs w:val="32"/>
    </w:rPr>
  </w:style>
  <w:style w:type="character" w:customStyle="1" w:styleId="a5">
    <w:name w:val="标题 字符"/>
    <w:link w:val="a4"/>
    <w:uiPriority w:val="10"/>
    <w:rsid w:val="009862B4"/>
    <w:rPr>
      <w:rFonts w:ascii="Cambria" w:eastAsia="Times New Roman" w:hAnsi="Cambria" w:cs="Times New Roman"/>
      <w:b/>
      <w:bCs/>
      <w:kern w:val="28"/>
      <w:sz w:val="32"/>
      <w:szCs w:val="32"/>
    </w:rPr>
  </w:style>
  <w:style w:type="character" w:styleId="a6">
    <w:name w:val="Emphasis"/>
    <w:aliases w:val="Italic"/>
    <w:uiPriority w:val="4"/>
    <w:qFormat/>
    <w:rsid w:val="00EC5930"/>
    <w:rPr>
      <w:i/>
      <w:iCs/>
    </w:rPr>
  </w:style>
  <w:style w:type="paragraph" w:customStyle="1" w:styleId="maintext">
    <w:name w:val="main_text"/>
    <w:basedOn w:val="a"/>
    <w:link w:val="maintext0"/>
    <w:uiPriority w:val="3"/>
    <w:qFormat/>
    <w:rsid w:val="00EC5930"/>
    <w:pPr>
      <w:autoSpaceDE w:val="0"/>
      <w:autoSpaceDN w:val="0"/>
      <w:adjustRightInd w:val="0"/>
      <w:ind w:firstLine="284"/>
      <w:jc w:val="both"/>
    </w:pPr>
    <w:rPr>
      <w:sz w:val="20"/>
      <w:szCs w:val="20"/>
      <w:lang w:val="en-US"/>
    </w:rPr>
  </w:style>
  <w:style w:type="paragraph" w:customStyle="1" w:styleId="maintextcenter">
    <w:name w:val="main_text_center"/>
    <w:basedOn w:val="maintext"/>
    <w:uiPriority w:val="3"/>
    <w:qFormat/>
    <w:rsid w:val="00EC5930"/>
    <w:pPr>
      <w:ind w:firstLine="0"/>
      <w:jc w:val="center"/>
    </w:pPr>
  </w:style>
  <w:style w:type="character" w:customStyle="1" w:styleId="maintext0">
    <w:name w:val="main_text Знак"/>
    <w:link w:val="maintext"/>
    <w:uiPriority w:val="3"/>
    <w:rsid w:val="00EC5930"/>
    <w:rPr>
      <w:rFonts w:eastAsia="Calibri"/>
      <w:lang w:val="en-US" w:eastAsia="en-US"/>
    </w:rPr>
  </w:style>
  <w:style w:type="paragraph" w:customStyle="1" w:styleId="Namefigureandtable">
    <w:name w:val="Name_figure_and_table"/>
    <w:basedOn w:val="maintextcenter"/>
    <w:uiPriority w:val="4"/>
    <w:qFormat/>
    <w:rsid w:val="00EC5930"/>
    <w:pPr>
      <w:spacing w:before="60" w:after="60"/>
    </w:pPr>
  </w:style>
  <w:style w:type="character" w:customStyle="1" w:styleId="bold">
    <w:name w:val="bold"/>
    <w:uiPriority w:val="4"/>
    <w:qFormat/>
    <w:rsid w:val="00EC5930"/>
    <w:rPr>
      <w:rFonts w:ascii="Times New Roman" w:hAnsi="Times New Roman"/>
      <w:b/>
      <w:sz w:val="20"/>
    </w:rPr>
  </w:style>
  <w:style w:type="paragraph" w:styleId="a7">
    <w:name w:val="Balloon Text"/>
    <w:basedOn w:val="a"/>
    <w:link w:val="a8"/>
    <w:uiPriority w:val="99"/>
    <w:semiHidden/>
    <w:unhideWhenUsed/>
    <w:rsid w:val="00EC5930"/>
    <w:rPr>
      <w:rFonts w:ascii="Tahoma" w:hAnsi="Tahoma"/>
      <w:sz w:val="16"/>
      <w:szCs w:val="16"/>
    </w:rPr>
  </w:style>
  <w:style w:type="character" w:customStyle="1" w:styleId="a8">
    <w:name w:val="批注框文本 字符"/>
    <w:link w:val="a7"/>
    <w:uiPriority w:val="99"/>
    <w:semiHidden/>
    <w:rsid w:val="00EC5930"/>
    <w:rPr>
      <w:rFonts w:ascii="Tahoma" w:eastAsia="Calibri" w:hAnsi="Tahoma" w:cs="Tahoma"/>
      <w:sz w:val="16"/>
      <w:szCs w:val="16"/>
      <w:lang w:eastAsia="en-US"/>
    </w:rPr>
  </w:style>
  <w:style w:type="paragraph" w:styleId="a9">
    <w:name w:val="header"/>
    <w:basedOn w:val="a"/>
    <w:link w:val="aa"/>
    <w:uiPriority w:val="99"/>
    <w:unhideWhenUsed/>
    <w:rsid w:val="00910D00"/>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910D00"/>
    <w:rPr>
      <w:rFonts w:eastAsia="Calibri"/>
      <w:sz w:val="18"/>
      <w:szCs w:val="18"/>
      <w:lang w:val="ru-RU" w:eastAsia="en-US"/>
    </w:rPr>
  </w:style>
  <w:style w:type="paragraph" w:styleId="ab">
    <w:name w:val="footer"/>
    <w:basedOn w:val="a"/>
    <w:link w:val="ac"/>
    <w:uiPriority w:val="99"/>
    <w:unhideWhenUsed/>
    <w:rsid w:val="00910D00"/>
    <w:pPr>
      <w:tabs>
        <w:tab w:val="center" w:pos="4153"/>
        <w:tab w:val="right" w:pos="8306"/>
      </w:tabs>
      <w:snapToGrid w:val="0"/>
    </w:pPr>
    <w:rPr>
      <w:sz w:val="18"/>
      <w:szCs w:val="18"/>
    </w:rPr>
  </w:style>
  <w:style w:type="character" w:customStyle="1" w:styleId="ac">
    <w:name w:val="页脚 字符"/>
    <w:link w:val="ab"/>
    <w:uiPriority w:val="99"/>
    <w:rsid w:val="00910D00"/>
    <w:rPr>
      <w:rFonts w:eastAsia="Calibri"/>
      <w:sz w:val="18"/>
      <w:szCs w:val="18"/>
      <w:lang w:val="ru-RU" w:eastAsia="en-US"/>
    </w:rPr>
  </w:style>
  <w:style w:type="table" w:styleId="ad">
    <w:name w:val="Table Grid"/>
    <w:basedOn w:val="a1"/>
    <w:uiPriority w:val="59"/>
    <w:rsid w:val="00887784"/>
    <w:pPr>
      <w:spacing w:line="360" w:lineRule="auto"/>
      <w:jc w:val="both"/>
    </w:pPr>
    <w:rPr>
      <w:rFonts w:ascii="Maiandra GD" w:eastAsia="华文新魏" w:hAnsi="Maiandra GD"/>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Grid Table Light"/>
    <w:basedOn w:val="a1"/>
    <w:uiPriority w:val="40"/>
    <w:rsid w:val="00D8149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1">
    <w:name w:val="Plain Table 1"/>
    <w:basedOn w:val="a1"/>
    <w:uiPriority w:val="41"/>
    <w:rsid w:val="00D8149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
    <w:name w:val="Placeholder Text"/>
    <w:basedOn w:val="a0"/>
    <w:uiPriority w:val="99"/>
    <w:semiHidden/>
    <w:rsid w:val="00592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506C7-AFFC-4A96-A491-04A0336A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pakhomov</dc:creator>
  <cp:keywords/>
  <cp:lastModifiedBy>Wenxiao Chu</cp:lastModifiedBy>
  <cp:revision>29</cp:revision>
  <cp:lastPrinted>2018-10-04T06:48:00Z</cp:lastPrinted>
  <dcterms:created xsi:type="dcterms:W3CDTF">2023-07-13T04:23:00Z</dcterms:created>
  <dcterms:modified xsi:type="dcterms:W3CDTF">2023-07-13T04:43:00Z</dcterms:modified>
</cp:coreProperties>
</file>